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A6894A" w:sz="6"/>
          <w:bottom w:val="single" w:color="A6894A" w:sz="6"/>
          <w:left w:val="single" w:color="A6894A" w:sz="6"/>
          <w:right w:val="single" w:color="A6894A" w:sz="6"/>
        </w:pBdr>
        <w:shd w:fill="FBEDD6" w:color="auto" w:val="clear"/>
        <w:spacing w:after="160" w:before="40"/>
        <w:jc w:val="center"/>
      </w:pPr>
      <w:r>
        <w:rPr>
          <w:rFonts w:ascii="Calibri" w:cs="Calibri" w:eastAsia="Calibri" w:hAnsi="Calibri"/>
          <w:b/>
          <w:bCs/>
          <w:color w:val="8A6D00"/>
          <w:spacing w:val="16"/>
          <w:sz w:val="20"/>
          <w:szCs w:val="20"/>
        </w:rPr>
        <w:t xml:space="preserve">SAMPLE — FOR ILLUSTRATION ONLY · FICTIONAL DATA</w:t>
      </w:r>
    </w:p>
    <w:tbl>
      <w:tblPr>
        <w:tblW w:type="dxa" w:w="9638"/>
        <w:tblBorders>
          <w:top w:val="none" w:color="auto" w:sz="0"/>
          <w:left w:val="none" w:color="auto" w:sz="0"/>
          <w:bottom w:val="single" w:color="A6894A" w:sz="18"/>
          <w:right w:val="none" w:color="auto" w:sz="0"/>
          <w:insideH w:val="none" w:color="auto" w:sz="0"/>
          <w:insideV w:val="none" w:color="auto" w:sz="0"/>
        </w:tblBorders>
      </w:tblPr>
      <w:tblGrid>
        <w:gridCol w:w="9638"/>
      </w:tblGrid>
      <w:tr>
        <w:tc>
          <w:tcPr>
            <w:tcW w:type="dxa" w:w="9638"/>
            <w:shd w:fill="0D1F3C" w:color="auto" w:val="clear"/>
            <w:tcMar>
              <w:top w:type="dxa" w:w="340"/>
              <w:left w:type="dxa" w:w="340"/>
              <w:bottom w:type="dxa" w:w="340"/>
              <w:right w:type="dxa" w:w="340"/>
            </w:tcMar>
          </w:tcPr>
          <w:p>
            <w:pPr>
              <w:spacing w:after="60"/>
            </w:pPr>
            <w:r>
              <w:rPr>
                <w:rFonts w:ascii="Georgia" w:cs="Georgia" w:eastAsia="Georgia" w:hAnsi="Georgia"/>
                <w:b/>
                <w:bCs/>
                <w:color w:val="FFFFFF"/>
                <w:spacing w:val="60"/>
                <w:sz w:val="28"/>
                <w:szCs w:val="28"/>
              </w:rPr>
              <w:t xml:space="preserve">BRIGHT MONEY INDEPENDENT</w:t>
            </w:r>
          </w:p>
          <w:p>
            <w:pPr>
              <w:spacing w:after="260"/>
            </w:pPr>
            <w:r>
              <w:rPr>
                <w:rFonts w:ascii="Calibri" w:cs="Calibri" w:eastAsia="Calibri" w:hAnsi="Calibri"/>
                <w:color w:val="A6894A"/>
                <w:spacing w:val="12"/>
                <w:sz w:val="17"/>
                <w:szCs w:val="17"/>
              </w:rPr>
              <w:t xml:space="preserve">Mortgage Capacity Reports for Financial Remedy proceedings</w:t>
            </w:r>
          </w:p>
          <w:p>
            <w:pPr>
              <w:spacing w:after="160"/>
            </w:pPr>
            <w:r>
              <w:rPr>
                <w:rFonts w:ascii="Georgia" w:cs="Georgia" w:eastAsia="Georgia" w:hAnsi="Georgia"/>
                <w:b/>
                <w:bCs/>
                <w:color w:val="FFFFFF"/>
                <w:sz w:val="42"/>
                <w:szCs w:val="42"/>
              </w:rPr>
              <w:t xml:space="preserve">Mortgage Capacity Report</w:t>
            </w:r>
          </w:p>
          <w:p>
            <w:pPr>
              <w:tabs>
                <w:tab w:val="right" w:pos="9026"/>
              </w:tabs>
              <w:spacing w:after="0"/>
            </w:pPr>
            <w:r>
              <w:rPr>
                <w:rFonts w:ascii="Calibri" w:cs="Calibri" w:eastAsia="Calibri" w:hAnsi="Calibri"/>
                <w:color w:val="A6894A"/>
                <w:sz w:val="18"/>
                <w:szCs w:val="18"/>
              </w:rPr>
              <w:t xml:space="preserve">Client: </w:t>
            </w:r>
            <w:r>
              <w:rPr>
                <w:rFonts w:ascii="Calibri" w:cs="Calibri" w:eastAsia="Calibri" w:hAnsi="Calibri"/>
                <w:b/>
                <w:bCs/>
                <w:color w:val="FFFFFF"/>
                <w:sz w:val="18"/>
                <w:szCs w:val="18"/>
              </w:rPr>
              <w:t xml:space="preserve">Sarah Whitfield</w:t>
            </w:r>
            <w:r>
              <w:rPr>
                <w:rFonts w:ascii="Calibri" w:cs="Calibri" w:eastAsia="Calibri" w:hAnsi="Calibri"/>
                <w:color w:val="A6894A"/>
                <w:sz w:val="18"/>
                <w:szCs w:val="18"/>
              </w:rPr>
              <w:t xml:space="preserve">   ·   Reference: </w:t>
            </w:r>
            <w:r>
              <w:rPr>
                <w:rFonts w:ascii="Calibri" w:cs="Calibri" w:eastAsia="Calibri" w:hAnsi="Calibri"/>
                <w:b/>
                <w:bCs/>
                <w:color w:val="FFFFFF"/>
                <w:sz w:val="18"/>
                <w:szCs w:val="18"/>
              </w:rPr>
              <w:t xml:space="preserve">BMR-4821</w:t>
            </w:r>
            <w:r>
              <w:rPr>
                <w:rFonts w:ascii="Calibri" w:cs="Calibri" w:eastAsia="Calibri" w:hAnsi="Calibri"/>
                <w:color w:val="FFFFFF"/>
                <w:sz w:val="18"/>
                <w:szCs w:val="18"/>
              </w:rPr>
              <w:t xml:space="preserve">	Date prepared: 13 August 2026</w:t>
            </w:r>
          </w:p>
          <w:p>
            <w:pPr>
              <w:spacing w:before="80"/>
            </w:pPr>
            <w:r>
              <w:rPr>
                <w:rFonts w:ascii="Calibri" w:cs="Calibri" w:eastAsia="Calibri" w:hAnsi="Calibri"/>
                <w:color w:val="A6894A"/>
                <w:sz w:val="18"/>
                <w:szCs w:val="18"/>
              </w:rPr>
              <w:t xml:space="preserve">Report type: </w:t>
            </w:r>
            <w:r>
              <w:rPr>
                <w:rFonts w:ascii="Calibri" w:cs="Calibri" w:eastAsia="Calibri" w:hAnsi="Calibri"/>
                <w:color w:val="FFFFFF"/>
                <w:sz w:val="18"/>
                <w:szCs w:val="18"/>
              </w:rPr>
              <w:t xml:space="preserve">Standard MCR</w:t>
            </w:r>
          </w:p>
        </w:tc>
      </w:tr>
    </w:tbl>
    <w:p>
      <w:pPr>
        <w:spacing w:after="60" w:before="160"/>
      </w:pPr>
      <w:r>
        <w:rPr>
          <w:rFonts w:ascii="Calibri" w:cs="Calibri" w:eastAsia="Calibri" w:hAnsi="Calibri"/>
          <w:i/>
          <w:iCs/>
          <w:color w:val="2B3648"/>
          <w:sz w:val="18"/>
          <w:szCs w:val="18"/>
        </w:rPr>
        <w:t xml:space="preserve">Prepared by: Darren Meehan CeMAP / Clementine Palmer CeMAP · Bright Money Independent Ltd · FCA No. 578068</w:t>
      </w:r>
    </w:p>
    <w:p>
      <w:pPr>
        <w:spacing w:after="120" w:line="276"/>
      </w:pPr>
      <w:r>
        <w:rPr>
          <w:rFonts w:ascii="Calibri" w:cs="Calibri" w:eastAsia="Calibri" w:hAnsi="Calibri"/>
          <w:i/>
          <w:iCs/>
          <w:color w:val="2B3648"/>
          <w:sz w:val="19"/>
          <w:szCs w:val="19"/>
        </w:rPr>
        <w:t xml:space="preserve">This is an automatically generated draft copy produced at the point of order. Payment has not been taken, no adviser has reviewed or signed it, and it must not be relied upon, issued to a client, sent to a solicitor or filed with the court.</w:t>
      </w:r>
    </w:p>
    <w:p>
      <w:pPr>
        <w:pBdr>
          <w:bottom w:val="single" w:color="A6894A" w:sz="8" w:space="6"/>
        </w:pBdr>
        <w:spacing w:after="140" w:before="360"/>
      </w:pPr>
      <w:r>
        <w:rPr>
          <w:rFonts w:ascii="Georgia" w:cs="Georgia" w:eastAsia="Georgia" w:hAnsi="Georgia"/>
          <w:b/>
          <w:bCs/>
          <w:color w:val="A6894A"/>
          <w:sz w:val="26"/>
          <w:szCs w:val="26"/>
        </w:rPr>
        <w:t xml:space="preserve">01  </w:t>
      </w:r>
      <w:r>
        <w:rPr>
          <w:rFonts w:ascii="Georgia" w:cs="Georgia" w:eastAsia="Georgia" w:hAnsi="Georgia"/>
          <w:b/>
          <w:bCs/>
          <w:color w:val="0D1F3C"/>
          <w:spacing w:val="20"/>
          <w:sz w:val="26"/>
          <w:szCs w:val="26"/>
        </w:rPr>
        <w:t xml:space="preserve">COVER</w:t>
      </w:r>
    </w:p>
    <w:tbl>
      <w:tblPr>
        <w:tblW w:type="dxa" w:w="9638"/>
        <w:tblBorders>
          <w:top w:val="single" w:color="D8D3C6" w:sz="4"/>
          <w:left w:val="single" w:color="D8D3C6" w:sz="4"/>
          <w:bottom w:val="single" w:color="D8D3C6" w:sz="4"/>
          <w:right w:val="single" w:color="D8D3C6" w:sz="4"/>
          <w:insideH w:val="single" w:color="D8D3C6" w:sz="4"/>
          <w:insideV w:val="single" w:color="D8D3C6" w:sz="4"/>
        </w:tblBorders>
      </w:tblPr>
      <w:tblGrid>
        <w:gridCol w:w="3300"/>
        <w:gridCol w:w="6338"/>
      </w:tblGrid>
      <w:tr>
        <w:tc>
          <w:tcPr>
            <w:tcW w:type="dxa" w:w="3300"/>
            <w:shd w:fill="F9F7F2"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Client name</w:t>
            </w:r>
          </w:p>
        </w:tc>
        <w:tc>
          <w:tcPr>
            <w:tcW w:type="dxa" w:w="6338"/>
            <w:shd w:fill="FCFBF8" w:color="auto" w:val="clear"/>
            <w:tcMar>
              <w:top w:type="dxa" w:w="90"/>
              <w:left w:type="dxa" w:w="140"/>
              <w:bottom w:type="dxa" w:w="90"/>
              <w:right w:type="dxa" w:w="140"/>
            </w:tcMar>
            <w:vAlign w:val="center"/>
          </w:tcPr>
          <w:p>
            <w:r>
              <w:rPr>
                <w:rFonts w:ascii="Calibri" w:cs="Calibri" w:eastAsia="Calibri" w:hAnsi="Calibri"/>
                <w:color w:val="2B3648"/>
                <w:sz w:val="20"/>
                <w:szCs w:val="20"/>
              </w:rPr>
              <w:t xml:space="preserve">Sarah Whitfield</w:t>
            </w:r>
          </w:p>
        </w:tc>
      </w:tr>
      <w:tr>
        <w:tc>
          <w:tcPr>
            <w:tcW w:type="dxa" w:w="3300"/>
            <w:shd w:fill="F9F7F2"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Email</w:t>
            </w:r>
          </w:p>
        </w:tc>
        <w:tc>
          <w:tcPr>
            <w:tcW w:type="dxa" w:w="6338"/>
            <w:shd w:fill="FFFFFF" w:color="auto" w:val="clear"/>
            <w:tcMar>
              <w:top w:type="dxa" w:w="90"/>
              <w:left w:type="dxa" w:w="140"/>
              <w:bottom w:type="dxa" w:w="90"/>
              <w:right w:type="dxa" w:w="140"/>
            </w:tcMar>
            <w:vAlign w:val="center"/>
          </w:tcPr>
          <w:p>
            <w:r>
              <w:rPr>
                <w:rFonts w:ascii="Calibri" w:cs="Calibri" w:eastAsia="Calibri" w:hAnsi="Calibri"/>
                <w:color w:val="2B3648"/>
                <w:sz w:val="20"/>
                <w:szCs w:val="20"/>
              </w:rPr>
              <w:t xml:space="preserve">sarah.whitfield@example.com</w:t>
            </w:r>
          </w:p>
        </w:tc>
      </w:tr>
      <w:tr>
        <w:tc>
          <w:tcPr>
            <w:tcW w:type="dxa" w:w="3300"/>
            <w:shd w:fill="F9F7F2"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Phone</w:t>
            </w:r>
          </w:p>
        </w:tc>
        <w:tc>
          <w:tcPr>
            <w:tcW w:type="dxa" w:w="6338"/>
            <w:shd w:fill="FCFBF8" w:color="auto" w:val="clear"/>
            <w:tcMar>
              <w:top w:type="dxa" w:w="90"/>
              <w:left w:type="dxa" w:w="140"/>
              <w:bottom w:type="dxa" w:w="90"/>
              <w:right w:type="dxa" w:w="140"/>
            </w:tcMar>
            <w:vAlign w:val="center"/>
          </w:tcPr>
          <w:p>
            <w:r>
              <w:rPr>
                <w:rFonts w:ascii="Calibri" w:cs="Calibri" w:eastAsia="Calibri" w:hAnsi="Calibri"/>
                <w:color w:val="2B3648"/>
                <w:sz w:val="20"/>
                <w:szCs w:val="20"/>
              </w:rPr>
              <w:t xml:space="preserve">07700 900123</w:t>
            </w:r>
          </w:p>
        </w:tc>
      </w:tr>
      <w:tr>
        <w:tc>
          <w:tcPr>
            <w:tcW w:type="dxa" w:w="3300"/>
            <w:shd w:fill="F9F7F2"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Date of birth</w:t>
            </w:r>
          </w:p>
        </w:tc>
        <w:tc>
          <w:tcPr>
            <w:tcW w:type="dxa" w:w="6338"/>
            <w:shd w:fill="FFFFFF" w:color="auto" w:val="clear"/>
            <w:tcMar>
              <w:top w:type="dxa" w:w="90"/>
              <w:left w:type="dxa" w:w="140"/>
              <w:bottom w:type="dxa" w:w="90"/>
              <w:right w:type="dxa" w:w="140"/>
            </w:tcMar>
            <w:vAlign w:val="center"/>
          </w:tcPr>
          <w:p>
            <w:r>
              <w:rPr>
                <w:rFonts w:ascii="Calibri" w:cs="Calibri" w:eastAsia="Calibri" w:hAnsi="Calibri"/>
                <w:color w:val="2B3648"/>
                <w:sz w:val="20"/>
                <w:szCs w:val="20"/>
              </w:rPr>
              <w:t xml:space="preserve">1984-06-12</w:t>
            </w:r>
          </w:p>
        </w:tc>
      </w:tr>
      <w:tr>
        <w:tc>
          <w:tcPr>
            <w:tcW w:type="dxa" w:w="3300"/>
            <w:shd w:fill="F9F7F2"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Report type</w:t>
            </w:r>
          </w:p>
        </w:tc>
        <w:tc>
          <w:tcPr>
            <w:tcW w:type="dxa" w:w="6338"/>
            <w:shd w:fill="FCFBF8" w:color="auto" w:val="clear"/>
            <w:tcMar>
              <w:top w:type="dxa" w:w="90"/>
              <w:left w:type="dxa" w:w="140"/>
              <w:bottom w:type="dxa" w:w="90"/>
              <w:right w:type="dxa" w:w="140"/>
            </w:tcMar>
            <w:vAlign w:val="center"/>
          </w:tcPr>
          <w:p>
            <w:r>
              <w:rPr>
                <w:rFonts w:ascii="Calibri" w:cs="Calibri" w:eastAsia="Calibri" w:hAnsi="Calibri"/>
                <w:color w:val="2B3648"/>
                <w:sz w:val="20"/>
                <w:szCs w:val="20"/>
              </w:rPr>
              <w:t xml:space="preserve">Standard MCR</w:t>
            </w:r>
          </w:p>
        </w:tc>
      </w:tr>
      <w:tr>
        <w:tc>
          <w:tcPr>
            <w:tcW w:type="dxa" w:w="3300"/>
            <w:shd w:fill="F9F7F2"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Solicitor email</w:t>
            </w:r>
          </w:p>
        </w:tc>
        <w:tc>
          <w:tcPr>
            <w:tcW w:type="dxa" w:w="6338"/>
            <w:shd w:fill="FFFFFF" w:color="auto" w:val="clear"/>
            <w:tcMar>
              <w:top w:type="dxa" w:w="90"/>
              <w:left w:type="dxa" w:w="140"/>
              <w:bottom w:type="dxa" w:w="90"/>
              <w:right w:type="dxa" w:w="140"/>
            </w:tcMar>
            <w:vAlign w:val="center"/>
          </w:tcPr>
          <w:p>
            <w:r>
              <w:rPr>
                <w:rFonts w:ascii="Calibri" w:cs="Calibri" w:eastAsia="Calibri" w:hAnsi="Calibri"/>
                <w:color w:val="2B3648"/>
                <w:sz w:val="20"/>
                <w:szCs w:val="20"/>
              </w:rPr>
              <w:t xml:space="preserve">j.hart@example-law.co.uk</w:t>
            </w:r>
          </w:p>
        </w:tc>
      </w:tr>
      <w:tr>
        <w:tc>
          <w:tcPr>
            <w:tcW w:type="dxa" w:w="3300"/>
            <w:shd w:fill="F9F7F2"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Case reference</w:t>
            </w:r>
          </w:p>
        </w:tc>
        <w:tc>
          <w:tcPr>
            <w:tcW w:type="dxa" w:w="6338"/>
            <w:shd w:fill="FCFBF8" w:color="auto" w:val="clear"/>
            <w:tcMar>
              <w:top w:type="dxa" w:w="90"/>
              <w:left w:type="dxa" w:w="140"/>
              <w:bottom w:type="dxa" w:w="90"/>
              <w:right w:type="dxa" w:w="140"/>
            </w:tcMar>
            <w:vAlign w:val="center"/>
          </w:tcPr>
          <w:p>
            <w:r>
              <w:rPr>
                <w:rFonts w:ascii="Calibri" w:cs="Calibri" w:eastAsia="Calibri" w:hAnsi="Calibri"/>
                <w:color w:val="2B3648"/>
                <w:sz w:val="20"/>
                <w:szCs w:val="20"/>
              </w:rPr>
              <w:t xml:space="preserve">FR-2026-00418</w:t>
            </w:r>
          </w:p>
        </w:tc>
      </w:tr>
    </w:tbl>
    <w:p>
      <w:pPr>
        <w:pBdr>
          <w:bottom w:val="single" w:color="A6894A" w:sz="8" w:space="6"/>
        </w:pBdr>
        <w:spacing w:after="140" w:before="360"/>
      </w:pPr>
      <w:r>
        <w:rPr>
          <w:rFonts w:ascii="Georgia" w:cs="Georgia" w:eastAsia="Georgia" w:hAnsi="Georgia"/>
          <w:b/>
          <w:bCs/>
          <w:color w:val="A6894A"/>
          <w:sz w:val="26"/>
          <w:szCs w:val="26"/>
        </w:rPr>
        <w:t xml:space="preserve">02  </w:t>
      </w:r>
      <w:r>
        <w:rPr>
          <w:rFonts w:ascii="Georgia" w:cs="Georgia" w:eastAsia="Georgia" w:hAnsi="Georgia"/>
          <w:b/>
          <w:bCs/>
          <w:color w:val="0D1F3C"/>
          <w:spacing w:val="20"/>
          <w:sz w:val="26"/>
          <w:szCs w:val="26"/>
        </w:rPr>
        <w:t xml:space="preserve">EXPERT QUALIFICATIONS</w:t>
      </w:r>
    </w:p>
    <w:p>
      <w:pPr>
        <w:spacing w:after="120" w:line="276"/>
      </w:pPr>
      <w:r>
        <w:rPr>
          <w:rFonts w:ascii="Calibri" w:cs="Calibri" w:eastAsia="Calibri" w:hAnsi="Calibri"/>
          <w:color w:val="2B3648"/>
          <w:sz w:val="21"/>
          <w:szCs w:val="21"/>
        </w:rPr>
        <w:t xml:space="preserve">Darren Meehan CeMAP is a qualified mortgage adviser and Director of Bright Money Independent Ltd, authorised and regulated by the Financial Conduct Authority (FCA No. 578068) as an Appointed Representative of Sesame Ltd. The firm holds Professional Indemnity insurance of £2,000,000. Darren has advised on residential and specialist mortgage lending since 2010 and regularly prepares expert Mortgage Capacity Reports for use in Financial Remedy proceedings.</w:t>
      </w:r>
    </w:p>
    <w:p>
      <w:pPr>
        <w:pBdr>
          <w:bottom w:val="single" w:color="A6894A" w:sz="8" w:space="6"/>
        </w:pBdr>
        <w:spacing w:after="140" w:before="360"/>
      </w:pPr>
      <w:r>
        <w:rPr>
          <w:rFonts w:ascii="Georgia" w:cs="Georgia" w:eastAsia="Georgia" w:hAnsi="Georgia"/>
          <w:b/>
          <w:bCs/>
          <w:color w:val="A6894A"/>
          <w:sz w:val="26"/>
          <w:szCs w:val="26"/>
        </w:rPr>
        <w:t xml:space="preserve">03  </w:t>
      </w:r>
      <w:r>
        <w:rPr>
          <w:rFonts w:ascii="Georgia" w:cs="Georgia" w:eastAsia="Georgia" w:hAnsi="Georgia"/>
          <w:b/>
          <w:bCs/>
          <w:color w:val="0D1F3C"/>
          <w:spacing w:val="20"/>
          <w:sz w:val="26"/>
          <w:szCs w:val="26"/>
        </w:rPr>
        <w:t xml:space="preserve">INTRODUCTION</w:t>
      </w:r>
    </w:p>
    <w:p>
      <w:pPr>
        <w:spacing w:after="120" w:line="276"/>
      </w:pPr>
      <w:r>
        <w:rPr>
          <w:rFonts w:ascii="Calibri" w:cs="Calibri" w:eastAsia="Calibri" w:hAnsi="Calibri"/>
          <w:color w:val="2B3648"/>
          <w:sz w:val="21"/>
          <w:szCs w:val="21"/>
        </w:rPr>
        <w:t xml:space="preserve">This report has been prepared for Sarah Whitfield in connection with ongoing Financial Remedy proceedings. It sets out the maximum residential mortgage capacity available to the applicant across the mainstream and specialist lender panels, based on the information provided and the assessed criteria of major UK lenders as at the date of preparation.</w:t>
      </w:r>
    </w:p>
    <w:p>
      <w:pPr>
        <w:pBdr>
          <w:bottom w:val="single" w:color="A6894A" w:sz="8" w:space="6"/>
        </w:pBdr>
        <w:spacing w:after="140" w:before="360"/>
      </w:pPr>
      <w:r>
        <w:rPr>
          <w:rFonts w:ascii="Georgia" w:cs="Georgia" w:eastAsia="Georgia" w:hAnsi="Georgia"/>
          <w:b/>
          <w:bCs/>
          <w:color w:val="A6894A"/>
          <w:sz w:val="26"/>
          <w:szCs w:val="26"/>
        </w:rPr>
        <w:t xml:space="preserve">04  </w:t>
      </w:r>
      <w:r>
        <w:rPr>
          <w:rFonts w:ascii="Georgia" w:cs="Georgia" w:eastAsia="Georgia" w:hAnsi="Georgia"/>
          <w:b/>
          <w:bCs/>
          <w:color w:val="0D1F3C"/>
          <w:spacing w:val="20"/>
          <w:sz w:val="26"/>
          <w:szCs w:val="26"/>
        </w:rPr>
        <w:t xml:space="preserve">INFORMATION PROVIDED — INCOME</w:t>
      </w:r>
    </w:p>
    <w:tbl>
      <w:tblPr>
        <w:tblW w:type="dxa" w:w="9638"/>
        <w:tblBorders>
          <w:top w:val="single" w:color="D8D3C6" w:sz="4"/>
          <w:left w:val="single" w:color="D8D3C6" w:sz="4"/>
          <w:bottom w:val="single" w:color="D8D3C6" w:sz="4"/>
          <w:right w:val="single" w:color="D8D3C6" w:sz="4"/>
          <w:insideH w:val="single" w:color="D8D3C6" w:sz="4"/>
          <w:insideV w:val="single" w:color="D8D3C6" w:sz="4"/>
        </w:tblBorders>
      </w:tblPr>
      <w:tblGrid>
        <w:gridCol w:w="3300"/>
        <w:gridCol w:w="6338"/>
      </w:tblGrid>
      <w:tr>
        <w:tc>
          <w:tcPr>
            <w:tcW w:type="dxa" w:w="3300"/>
            <w:shd w:fill="F9F7F2"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Employment type</w:t>
            </w:r>
          </w:p>
        </w:tc>
        <w:tc>
          <w:tcPr>
            <w:tcW w:type="dxa" w:w="6338"/>
            <w:shd w:fill="FCFBF8" w:color="auto" w:val="clear"/>
            <w:tcMar>
              <w:top w:type="dxa" w:w="90"/>
              <w:left w:type="dxa" w:w="140"/>
              <w:bottom w:type="dxa" w:w="90"/>
              <w:right w:type="dxa" w:w="140"/>
            </w:tcMar>
            <w:vAlign w:val="center"/>
          </w:tcPr>
          <w:p>
            <w:r>
              <w:rPr>
                <w:rFonts w:ascii="Calibri" w:cs="Calibri" w:eastAsia="Calibri" w:hAnsi="Calibri"/>
                <w:color w:val="2B3648"/>
                <w:sz w:val="20"/>
                <w:szCs w:val="20"/>
              </w:rPr>
              <w:t xml:space="preserve">Employed</w:t>
            </w:r>
          </w:p>
        </w:tc>
      </w:tr>
      <w:tr>
        <w:tc>
          <w:tcPr>
            <w:tcW w:type="dxa" w:w="3300"/>
            <w:shd w:fill="F9F7F2"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Gross annual salary</w:t>
            </w:r>
          </w:p>
        </w:tc>
        <w:tc>
          <w:tcPr>
            <w:tcW w:type="dxa" w:w="6338"/>
            <w:shd w:fill="FFFFFF" w:color="auto" w:val="clear"/>
            <w:tcMar>
              <w:top w:type="dxa" w:w="90"/>
              <w:left w:type="dxa" w:w="140"/>
              <w:bottom w:type="dxa" w:w="90"/>
              <w:right w:type="dxa" w:w="140"/>
            </w:tcMar>
            <w:vAlign w:val="center"/>
          </w:tcPr>
          <w:p>
            <w:r>
              <w:rPr>
                <w:rFonts w:ascii="Calibri" w:cs="Calibri" w:eastAsia="Calibri" w:hAnsi="Calibri"/>
                <w:color w:val="2B3648"/>
                <w:sz w:val="20"/>
                <w:szCs w:val="20"/>
              </w:rPr>
              <w:t xml:space="preserve">£120,000</w:t>
            </w:r>
          </w:p>
        </w:tc>
      </w:tr>
      <w:tr>
        <w:tc>
          <w:tcPr>
            <w:tcW w:type="dxa" w:w="3300"/>
            <w:shd w:fill="F9F7F2"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Child Benefit (annual)</w:t>
            </w:r>
          </w:p>
        </w:tc>
        <w:tc>
          <w:tcPr>
            <w:tcW w:type="dxa" w:w="6338"/>
            <w:shd w:fill="FCFBF8" w:color="auto" w:val="clear"/>
            <w:tcMar>
              <w:top w:type="dxa" w:w="90"/>
              <w:left w:type="dxa" w:w="140"/>
              <w:bottom w:type="dxa" w:w="90"/>
              <w:right w:type="dxa" w:w="140"/>
            </w:tcMar>
            <w:vAlign w:val="center"/>
          </w:tcPr>
          <w:p>
            <w:r>
              <w:rPr>
                <w:rFonts w:ascii="Calibri" w:cs="Calibri" w:eastAsia="Calibri" w:hAnsi="Calibri"/>
                <w:color w:val="2B3648"/>
                <w:sz w:val="20"/>
                <w:szCs w:val="20"/>
              </w:rPr>
              <w:t xml:space="preserve">£1,331</w:t>
            </w:r>
          </w:p>
        </w:tc>
      </w:tr>
      <w:tr>
        <w:tc>
          <w:tcPr>
            <w:tcW w:type="dxa" w:w="3300"/>
            <w:shd w:fill="F9F7F2"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Maintenance received</w:t>
            </w:r>
          </w:p>
        </w:tc>
        <w:tc>
          <w:tcPr>
            <w:tcW w:type="dxa" w:w="6338"/>
            <w:shd w:fill="FFFFFF" w:color="auto" w:val="clear"/>
            <w:tcMar>
              <w:top w:type="dxa" w:w="90"/>
              <w:left w:type="dxa" w:w="140"/>
              <w:bottom w:type="dxa" w:w="90"/>
              <w:right w:type="dxa" w:w="140"/>
            </w:tcMar>
            <w:vAlign w:val="center"/>
          </w:tcPr>
          <w:p>
            <w:r>
              <w:rPr>
                <w:rFonts w:ascii="Calibri" w:cs="Calibri" w:eastAsia="Calibri" w:hAnsi="Calibri"/>
                <w:color w:val="2B3648"/>
                <w:sz w:val="20"/>
                <w:szCs w:val="20"/>
              </w:rPr>
              <w:t xml:space="preserve">£650/mo · Court-ordered</w:t>
            </w:r>
          </w:p>
        </w:tc>
      </w:tr>
      <w:tr>
        <w:tc>
          <w:tcPr>
            <w:tcW w:type="dxa" w:w="3300"/>
            <w:shd w:fill="F9F7F2"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Pension monthly</w:t>
            </w:r>
          </w:p>
        </w:tc>
        <w:tc>
          <w:tcPr>
            <w:tcW w:type="dxa" w:w="6338"/>
            <w:shd w:fill="FCFBF8" w:color="auto" w:val="clear"/>
            <w:tcMar>
              <w:top w:type="dxa" w:w="90"/>
              <w:left w:type="dxa" w:w="140"/>
              <w:bottom w:type="dxa" w:w="90"/>
              <w:right w:type="dxa" w:w="140"/>
            </w:tcMar>
            <w:vAlign w:val="center"/>
          </w:tcPr>
          <w:p>
            <w:r>
              <w:rPr>
                <w:rFonts w:ascii="Calibri" w:cs="Calibri" w:eastAsia="Calibri" w:hAnsi="Calibri"/>
                <w:color w:val="2B3648"/>
                <w:sz w:val="20"/>
                <w:szCs w:val="20"/>
              </w:rPr>
              <w:t xml:space="preserve">£0</w:t>
            </w:r>
          </w:p>
        </w:tc>
      </w:tr>
    </w:tbl>
    <w:p>
      <w:pPr>
        <w:spacing w:after="100" w:before="260"/>
      </w:pPr>
      <w:r>
        <w:rPr>
          <w:rFonts w:ascii="Calibri" w:cs="Calibri" w:eastAsia="Calibri" w:hAnsi="Calibri"/>
          <w:b/>
          <w:bCs/>
          <w:color w:val="0D1F3C"/>
          <w:sz w:val="22"/>
          <w:szCs w:val="22"/>
        </w:rPr>
        <w:t xml:space="preserve">Net and disposable income</w:t>
      </w:r>
    </w:p>
    <w:p>
      <w:pPr>
        <w:spacing w:after="120" w:line="276"/>
      </w:pPr>
      <w:r>
        <w:rPr>
          <w:rFonts w:ascii="Calibri" w:cs="Calibri" w:eastAsia="Calibri" w:hAnsi="Calibri"/>
          <w:i/>
          <w:iCs/>
          <w:color w:val="2B3648"/>
          <w:sz w:val="19"/>
          <w:szCs w:val="19"/>
        </w:rPr>
        <w:t xml:space="preserve">Net income is calculated on the same basis used in the affordability assessment: PAYE income tax and National Insurance are deducted from taxable income, with Child Benefit and maintenance received treated as non-taxable.</w:t>
      </w:r>
    </w:p>
    <w:tbl>
      <w:tblPr>
        <w:tblW w:type="dxa" w:w="9638"/>
        <w:tblBorders>
          <w:top w:val="single" w:color="D8D3C6" w:sz="4"/>
          <w:left w:val="single" w:color="D8D3C6" w:sz="4"/>
          <w:bottom w:val="single" w:color="D8D3C6" w:sz="4"/>
          <w:right w:val="single" w:color="D8D3C6" w:sz="4"/>
          <w:insideH w:val="single" w:color="D8D3C6" w:sz="4"/>
          <w:insideV w:val="single" w:color="D8D3C6" w:sz="4"/>
        </w:tblBorders>
      </w:tblPr>
      <w:tblGrid>
        <w:gridCol w:w="6638"/>
        <w:gridCol w:w="3000"/>
      </w:tblGrid>
      <w:tr>
        <w:trPr>
          <w:tblHeader/>
        </w:trPr>
        <w:tc>
          <w:tcPr>
            <w:tcW w:type="dxa" w:w="6638"/>
            <w:shd w:fill="0D1F3C" w:color="auto" w:val="clear"/>
            <w:tcMar>
              <w:top w:type="dxa" w:w="90"/>
              <w:left w:type="dxa" w:w="140"/>
              <w:bottom w:type="dxa" w:w="90"/>
              <w:right w:type="dxa" w:w="140"/>
            </w:tcMar>
            <w:vAlign w:val="center"/>
          </w:tcPr>
          <w:p>
            <w:r>
              <w:rPr>
                <w:rFonts w:ascii="Calibri" w:cs="Calibri" w:eastAsia="Calibri" w:hAnsi="Calibri"/>
                <w:b/>
                <w:bCs/>
                <w:color w:val="FFFFFF"/>
                <w:sz w:val="20"/>
                <w:szCs w:val="20"/>
              </w:rPr>
              <w:t xml:space="preserve">Item</w:t>
            </w:r>
          </w:p>
        </w:tc>
        <w:tc>
          <w:tcPr>
            <w:tcW w:type="dxa" w:w="3000"/>
            <w:shd w:fill="0D1F3C" w:color="auto" w:val="clear"/>
            <w:tcMar>
              <w:top w:type="dxa" w:w="90"/>
              <w:left w:type="dxa" w:w="140"/>
              <w:bottom w:type="dxa" w:w="90"/>
              <w:right w:type="dxa" w:w="140"/>
            </w:tcMar>
            <w:vAlign w:val="center"/>
          </w:tcPr>
          <w:p>
            <w:r>
              <w:rPr>
                <w:rFonts w:ascii="Calibri" w:cs="Calibri" w:eastAsia="Calibri" w:hAnsi="Calibri"/>
                <w:b/>
                <w:bCs/>
                <w:color w:val="FFFFFF"/>
                <w:sz w:val="20"/>
                <w:szCs w:val="20"/>
              </w:rPr>
              <w:t xml:space="preserve">Amount</w:t>
            </w:r>
          </w:p>
        </w:tc>
      </w:tr>
      <w:tr>
        <w:tc>
          <w:tcPr>
            <w:tcW w:type="dxa" w:w="6638"/>
            <w:shd w:fill="FCFBF8"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Gross annual income (total assessable)</w:t>
            </w:r>
          </w:p>
        </w:tc>
        <w:tc>
          <w:tcPr>
            <w:tcW w:type="dxa" w:w="3000"/>
            <w:shd w:fill="FCFBF8"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£129,131/yr</w:t>
            </w:r>
          </w:p>
        </w:tc>
      </w:tr>
      <w:tr>
        <w:tc>
          <w:tcPr>
            <w:tcW w:type="dxa" w:w="6638"/>
            <w:shd w:fill="FFFFFF"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Estimated net (take-home) income</w:t>
            </w:r>
          </w:p>
        </w:tc>
        <w:tc>
          <w:tcPr>
            <w:tcW w:type="dxa" w:w="3000"/>
            <w:shd w:fill="FFFFFF"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£7,441/mo</w:t>
            </w:r>
          </w:p>
        </w:tc>
      </w:tr>
      <w:tr>
        <w:tc>
          <w:tcPr>
            <w:tcW w:type="dxa" w:w="6638"/>
            <w:shd w:fill="FCFBF8"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Less: total monthly debt servicing</w:t>
            </w:r>
          </w:p>
        </w:tc>
        <w:tc>
          <w:tcPr>
            <w:tcW w:type="dxa" w:w="3000"/>
            <w:shd w:fill="FCFBF8"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−£472/mo</w:t>
            </w:r>
          </w:p>
        </w:tc>
      </w:tr>
      <w:tr>
        <w:tc>
          <w:tcPr>
            <w:tcW w:type="dxa" w:w="6638"/>
            <w:shd w:fill="FFFFFF"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Less: maintenance paid</w:t>
            </w:r>
          </w:p>
        </w:tc>
        <w:tc>
          <w:tcPr>
            <w:tcW w:type="dxa" w:w="3000"/>
            <w:shd w:fill="FFFFFF"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−£0/mo</w:t>
            </w:r>
          </w:p>
        </w:tc>
      </w:tr>
      <w:tr>
        <w:tc>
          <w:tcPr>
            <w:tcW w:type="dxa" w:w="6638"/>
            <w:shd w:fill="FCFBF8"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Less: childcare costs</w:t>
            </w:r>
          </w:p>
        </w:tc>
        <w:tc>
          <w:tcPr>
            <w:tcW w:type="dxa" w:w="3000"/>
            <w:shd w:fill="FCFBF8"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−£420/mo</w:t>
            </w:r>
          </w:p>
        </w:tc>
      </w:tr>
      <w:tr>
        <w:tc>
          <w:tcPr>
            <w:tcW w:type="dxa" w:w="6638"/>
            <w:shd w:fill="FFFFFF"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Less: other committed outgoings</w:t>
            </w:r>
          </w:p>
        </w:tc>
        <w:tc>
          <w:tcPr>
            <w:tcW w:type="dxa" w:w="3000"/>
            <w:shd w:fill="FFFFFF"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−£0/mo</w:t>
            </w:r>
          </w:p>
        </w:tc>
      </w:tr>
      <w:tr>
        <w:tc>
          <w:tcPr>
            <w:tcW w:type="dxa" w:w="6638"/>
            <w:shd w:fill="FCFBF8"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Net disposable income after debts and commitments</w:t>
            </w:r>
          </w:p>
        </w:tc>
        <w:tc>
          <w:tcPr>
            <w:tcW w:type="dxa" w:w="3000"/>
            <w:shd w:fill="FCFBF8"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£6,549/mo</w:t>
            </w:r>
          </w:p>
        </w:tc>
      </w:tr>
    </w:tbl>
    <w:p>
      <w:pPr>
        <w:pBdr>
          <w:bottom w:val="single" w:color="A6894A" w:sz="8" w:space="6"/>
        </w:pBdr>
        <w:spacing w:after="140" w:before="360"/>
      </w:pPr>
      <w:r>
        <w:rPr>
          <w:rFonts w:ascii="Georgia" w:cs="Georgia" w:eastAsia="Georgia" w:hAnsi="Georgia"/>
          <w:b/>
          <w:bCs/>
          <w:color w:val="A6894A"/>
          <w:sz w:val="26"/>
          <w:szCs w:val="26"/>
        </w:rPr>
        <w:t xml:space="preserve">05  </w:t>
      </w:r>
      <w:r>
        <w:rPr>
          <w:rFonts w:ascii="Georgia" w:cs="Georgia" w:eastAsia="Georgia" w:hAnsi="Georgia"/>
          <w:b/>
          <w:bCs/>
          <w:color w:val="0D1F3C"/>
          <w:spacing w:val="20"/>
          <w:sz w:val="26"/>
          <w:szCs w:val="26"/>
        </w:rPr>
        <w:t xml:space="preserve">OTHER RELEVANT FACTORS</w:t>
      </w:r>
    </w:p>
    <w:tbl>
      <w:tblPr>
        <w:tblW w:type="dxa" w:w="9638"/>
        <w:tblBorders>
          <w:top w:val="single" w:color="D8D3C6" w:sz="4"/>
          <w:left w:val="single" w:color="D8D3C6" w:sz="4"/>
          <w:bottom w:val="single" w:color="D8D3C6" w:sz="4"/>
          <w:right w:val="single" w:color="D8D3C6" w:sz="4"/>
          <w:insideH w:val="single" w:color="D8D3C6" w:sz="4"/>
          <w:insideV w:val="single" w:color="D8D3C6" w:sz="4"/>
        </w:tblBorders>
      </w:tblPr>
      <w:tblGrid>
        <w:gridCol w:w="3300"/>
        <w:gridCol w:w="6338"/>
      </w:tblGrid>
      <w:tr>
        <w:tc>
          <w:tcPr>
            <w:tcW w:type="dxa" w:w="3300"/>
            <w:shd w:fill="F9F7F2"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Dependent children</w:t>
            </w:r>
          </w:p>
        </w:tc>
        <w:tc>
          <w:tcPr>
            <w:tcW w:type="dxa" w:w="6338"/>
            <w:shd w:fill="FCFBF8" w:color="auto" w:val="clear"/>
            <w:tcMar>
              <w:top w:type="dxa" w:w="90"/>
              <w:left w:type="dxa" w:w="140"/>
              <w:bottom w:type="dxa" w:w="90"/>
              <w:right w:type="dxa" w:w="140"/>
            </w:tcMar>
            <w:vAlign w:val="center"/>
          </w:tcPr>
          <w:p>
            <w:r>
              <w:rPr>
                <w:rFonts w:ascii="Calibri" w:cs="Calibri" w:eastAsia="Calibri" w:hAnsi="Calibri"/>
                <w:color w:val="2B3648"/>
                <w:sz w:val="20"/>
                <w:szCs w:val="20"/>
              </w:rPr>
              <w:t xml:space="preserve">2 (ages 9, 12)</w:t>
            </w:r>
          </w:p>
        </w:tc>
      </w:tr>
      <w:tr>
        <w:tc>
          <w:tcPr>
            <w:tcW w:type="dxa" w:w="3300"/>
            <w:shd w:fill="F9F7F2"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Childcare costs</w:t>
            </w:r>
          </w:p>
        </w:tc>
        <w:tc>
          <w:tcPr>
            <w:tcW w:type="dxa" w:w="6338"/>
            <w:shd w:fill="FFFFFF" w:color="auto" w:val="clear"/>
            <w:tcMar>
              <w:top w:type="dxa" w:w="90"/>
              <w:left w:type="dxa" w:w="140"/>
              <w:bottom w:type="dxa" w:w="90"/>
              <w:right w:type="dxa" w:w="140"/>
            </w:tcMar>
            <w:vAlign w:val="center"/>
          </w:tcPr>
          <w:p>
            <w:r>
              <w:rPr>
                <w:rFonts w:ascii="Calibri" w:cs="Calibri" w:eastAsia="Calibri" w:hAnsi="Calibri"/>
                <w:color w:val="2B3648"/>
                <w:sz w:val="20"/>
                <w:szCs w:val="20"/>
              </w:rPr>
              <w:t xml:space="preserve">£420/mo</w:t>
            </w:r>
          </w:p>
        </w:tc>
      </w:tr>
      <w:tr>
        <w:tc>
          <w:tcPr>
            <w:tcW w:type="dxa" w:w="3300"/>
            <w:shd w:fill="F9F7F2"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Credit profile</w:t>
            </w:r>
          </w:p>
        </w:tc>
        <w:tc>
          <w:tcPr>
            <w:tcW w:type="dxa" w:w="6338"/>
            <w:shd w:fill="FCFBF8" w:color="auto" w:val="clear"/>
            <w:tcMar>
              <w:top w:type="dxa" w:w="90"/>
              <w:left w:type="dxa" w:w="140"/>
              <w:bottom w:type="dxa" w:w="90"/>
              <w:right w:type="dxa" w:w="140"/>
            </w:tcMar>
            <w:vAlign w:val="center"/>
          </w:tcPr>
          <w:p>
            <w:r>
              <w:rPr>
                <w:rFonts w:ascii="Calibri" w:cs="Calibri" w:eastAsia="Calibri" w:hAnsi="Calibri"/>
                <w:color w:val="2B3648"/>
                <w:sz w:val="20"/>
                <w:szCs w:val="20"/>
              </w:rPr>
              <w:t xml:space="preserve">Clean</w:t>
            </w:r>
          </w:p>
        </w:tc>
      </w:tr>
      <w:tr>
        <w:tc>
          <w:tcPr>
            <w:tcW w:type="dxa" w:w="3300"/>
            <w:shd w:fill="F9F7F2"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Adverse credit severity</w:t>
            </w:r>
          </w:p>
        </w:tc>
        <w:tc>
          <w:tcPr>
            <w:tcW w:type="dxa" w:w="6338"/>
            <w:shd w:fill="FFFFFF" w:color="auto" w:val="clear"/>
            <w:tcMar>
              <w:top w:type="dxa" w:w="90"/>
              <w:left w:type="dxa" w:w="140"/>
              <w:bottom w:type="dxa" w:w="90"/>
              <w:right w:type="dxa" w:w="140"/>
            </w:tcMar>
            <w:vAlign w:val="center"/>
          </w:tcPr>
          <w:p>
            <w:r>
              <w:rPr>
                <w:rFonts w:ascii="Calibri" w:cs="Calibri" w:eastAsia="Calibri" w:hAnsi="Calibri"/>
                <w:color w:val="2B3648"/>
                <w:sz w:val="20"/>
                <w:szCs w:val="20"/>
              </w:rPr>
              <w:t xml:space="preserve">None</w:t>
            </w:r>
          </w:p>
        </w:tc>
      </w:tr>
      <w:tr>
        <w:tc>
          <w:tcPr>
            <w:tcW w:type="dxa" w:w="3300"/>
            <w:shd w:fill="F9F7F2"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Adverse credit types</w:t>
            </w:r>
          </w:p>
        </w:tc>
        <w:tc>
          <w:tcPr>
            <w:tcW w:type="dxa" w:w="6338"/>
            <w:shd w:fill="FCFBF8" w:color="auto" w:val="clear"/>
            <w:tcMar>
              <w:top w:type="dxa" w:w="90"/>
              <w:left w:type="dxa" w:w="140"/>
              <w:bottom w:type="dxa" w:w="90"/>
              <w:right w:type="dxa" w:w="140"/>
            </w:tcMar>
            <w:vAlign w:val="center"/>
          </w:tcPr>
          <w:p>
            <w:r>
              <w:rPr>
                <w:rFonts w:ascii="Calibri" w:cs="Calibri" w:eastAsia="Calibri" w:hAnsi="Calibri"/>
                <w:color w:val="2B3648"/>
                <w:sz w:val="20"/>
                <w:szCs w:val="20"/>
              </w:rPr>
              <w:t xml:space="preserve">—</w:t>
            </w:r>
          </w:p>
        </w:tc>
      </w:tr>
      <w:tr>
        <w:tc>
          <w:tcPr>
            <w:tcW w:type="dxa" w:w="3300"/>
            <w:shd w:fill="F9F7F2"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Buying timeline</w:t>
            </w:r>
          </w:p>
        </w:tc>
        <w:tc>
          <w:tcPr>
            <w:tcW w:type="dxa" w:w="6338"/>
            <w:shd w:fill="FFFFFF" w:color="auto" w:val="clear"/>
            <w:tcMar>
              <w:top w:type="dxa" w:w="90"/>
              <w:left w:type="dxa" w:w="140"/>
              <w:bottom w:type="dxa" w:w="90"/>
              <w:right w:type="dxa" w:w="140"/>
            </w:tcMar>
            <w:vAlign w:val="center"/>
          </w:tcPr>
          <w:p>
            <w:r>
              <w:rPr>
                <w:rFonts w:ascii="Calibri" w:cs="Calibri" w:eastAsia="Calibri" w:hAnsi="Calibri"/>
                <w:color w:val="2B3648"/>
                <w:sz w:val="20"/>
                <w:szCs w:val="20"/>
              </w:rPr>
              <w:t xml:space="preserve">3-6 months</w:t>
            </w:r>
          </w:p>
        </w:tc>
      </w:tr>
    </w:tbl>
    <w:p>
      <w:pPr>
        <w:pBdr>
          <w:bottom w:val="single" w:color="A6894A" w:sz="8" w:space="6"/>
        </w:pBdr>
        <w:spacing w:after="140" w:before="360"/>
      </w:pPr>
      <w:r>
        <w:rPr>
          <w:rFonts w:ascii="Georgia" w:cs="Georgia" w:eastAsia="Georgia" w:hAnsi="Georgia"/>
          <w:b/>
          <w:bCs/>
          <w:color w:val="A6894A"/>
          <w:sz w:val="26"/>
          <w:szCs w:val="26"/>
        </w:rPr>
        <w:t xml:space="preserve">06  </w:t>
      </w:r>
      <w:r>
        <w:rPr>
          <w:rFonts w:ascii="Georgia" w:cs="Georgia" w:eastAsia="Georgia" w:hAnsi="Georgia"/>
          <w:b/>
          <w:bCs/>
          <w:color w:val="0D1F3C"/>
          <w:spacing w:val="20"/>
          <w:sz w:val="26"/>
          <w:szCs w:val="26"/>
        </w:rPr>
        <w:t xml:space="preserve">INFORMATION PROVIDED — LIABILITIES</w:t>
      </w:r>
    </w:p>
    <w:p>
      <w:pPr>
        <w:spacing w:after="90"/>
        <w:ind w:left="340" w:hanging="340"/>
      </w:pPr>
      <w:r>
        <w:rPr>
          <w:rFonts w:ascii="Calibri" w:cs="Calibri" w:eastAsia="Calibri" w:hAnsi="Calibri"/>
          <w:b/>
          <w:bCs/>
          <w:color w:val="A6894A"/>
          <w:sz w:val="22"/>
          <w:szCs w:val="22"/>
        </w:rPr>
        <w:t xml:space="preserve">✓  </w:t>
      </w:r>
      <w:r>
        <w:rPr>
          <w:rFonts w:ascii="Calibri" w:cs="Calibri" w:eastAsia="Calibri" w:hAnsi="Calibri"/>
          <w:color w:val="2B3648"/>
          <w:sz w:val="21"/>
          <w:szCs w:val="21"/>
        </w:rPr>
        <w:t xml:space="preserve">Credit card balance: £4,200 (assessed at 1% — £42/mo)</w:t>
      </w:r>
    </w:p>
    <w:p>
      <w:pPr>
        <w:spacing w:after="90"/>
        <w:ind w:left="340" w:hanging="340"/>
      </w:pPr>
      <w:r>
        <w:rPr>
          <w:rFonts w:ascii="Calibri" w:cs="Calibri" w:eastAsia="Calibri" w:hAnsi="Calibri"/>
          <w:b/>
          <w:bCs/>
          <w:color w:val="A6894A"/>
          <w:sz w:val="22"/>
          <w:szCs w:val="22"/>
        </w:rPr>
        <w:t xml:space="preserve">✓  </w:t>
      </w:r>
      <w:r>
        <w:rPr>
          <w:rFonts w:ascii="Calibri" w:cs="Calibri" w:eastAsia="Calibri" w:hAnsi="Calibri"/>
          <w:color w:val="2B3648"/>
          <w:sz w:val="21"/>
          <w:szCs w:val="21"/>
        </w:rPr>
        <w:t xml:space="preserve">HP / car finance: £245/mo (28 months remaining)</w:t>
      </w:r>
    </w:p>
    <w:p>
      <w:pPr>
        <w:spacing w:after="90"/>
        <w:ind w:left="340" w:hanging="340"/>
      </w:pPr>
      <w:r>
        <w:rPr>
          <w:rFonts w:ascii="Calibri" w:cs="Calibri" w:eastAsia="Calibri" w:hAnsi="Calibri"/>
          <w:b/>
          <w:bCs/>
          <w:color w:val="A6894A"/>
          <w:sz w:val="22"/>
          <w:szCs w:val="22"/>
        </w:rPr>
        <w:t xml:space="preserve">✓  </w:t>
      </w:r>
      <w:r>
        <w:rPr>
          <w:rFonts w:ascii="Calibri" w:cs="Calibri" w:eastAsia="Calibri" w:hAnsi="Calibri"/>
          <w:color w:val="2B3648"/>
          <w:sz w:val="21"/>
          <w:szCs w:val="21"/>
        </w:rPr>
        <w:t xml:space="preserve">Personal loan: £180/mo (34 months remaining)</w:t>
      </w:r>
    </w:p>
    <w:p>
      <w:pPr>
        <w:spacing w:after="90"/>
        <w:ind w:left="340" w:hanging="340"/>
      </w:pPr>
      <w:r>
        <w:rPr>
          <w:rFonts w:ascii="Calibri" w:cs="Calibri" w:eastAsia="Calibri" w:hAnsi="Calibri"/>
          <w:b/>
          <w:bCs/>
          <w:color w:val="A6894A"/>
          <w:sz w:val="22"/>
          <w:szCs w:val="22"/>
        </w:rPr>
        <w:t xml:space="preserve">✓  </w:t>
      </w:r>
      <w:r>
        <w:rPr>
          <w:rFonts w:ascii="Calibri" w:cs="Calibri" w:eastAsia="Calibri" w:hAnsi="Calibri"/>
          <w:color w:val="2B3648"/>
          <w:sz w:val="21"/>
          <w:szCs w:val="21"/>
        </w:rPr>
        <w:t xml:space="preserve">Overdraft: £500</w:t>
      </w:r>
    </w:p>
    <w:p>
      <w:pPr>
        <w:spacing w:after="120" w:line="276"/>
      </w:pPr>
      <w:r>
        <w:rPr>
          <w:rFonts w:ascii="Calibri" w:cs="Calibri" w:eastAsia="Calibri" w:hAnsi="Calibri"/>
          <w:b/>
          <w:bCs/>
          <w:color w:val="2B3648"/>
          <w:sz w:val="21"/>
          <w:szCs w:val="21"/>
        </w:rPr>
        <w:t xml:space="preserve">Total monthly debt servicing (approx.): £472/mo</w:t>
      </w:r>
    </w:p>
    <w:p>
      <w:pPr>
        <w:pBdr>
          <w:bottom w:val="single" w:color="A6894A" w:sz="8" w:space="6"/>
        </w:pBdr>
        <w:spacing w:after="140" w:before="360"/>
      </w:pPr>
      <w:r>
        <w:rPr>
          <w:rFonts w:ascii="Georgia" w:cs="Georgia" w:eastAsia="Georgia" w:hAnsi="Georgia"/>
          <w:b/>
          <w:bCs/>
          <w:color w:val="A6894A"/>
          <w:sz w:val="26"/>
          <w:szCs w:val="26"/>
        </w:rPr>
        <w:t xml:space="preserve">07  </w:t>
      </w:r>
      <w:r>
        <w:rPr>
          <w:rFonts w:ascii="Georgia" w:cs="Georgia" w:eastAsia="Georgia" w:hAnsi="Georgia"/>
          <w:b/>
          <w:bCs/>
          <w:color w:val="0D1F3C"/>
          <w:spacing w:val="20"/>
          <w:sz w:val="26"/>
          <w:szCs w:val="26"/>
        </w:rPr>
        <w:t xml:space="preserve">MAXIMUM MORTGAGE AVAILABLE</w:t>
      </w:r>
    </w:p>
    <w:tbl>
      <w:tblPr>
        <w:tblW w:type="dxa" w:w="9638"/>
        <w:tblBorders>
          <w:top w:val="single" w:color="D8D3C6" w:sz="4"/>
          <w:left w:val="single" w:color="D8D3C6" w:sz="4"/>
          <w:bottom w:val="single" w:color="D8D3C6" w:sz="4"/>
          <w:right w:val="single" w:color="D8D3C6" w:sz="4"/>
          <w:insideH w:val="single" w:color="D8D3C6" w:sz="4"/>
          <w:insideV w:val="single" w:color="D8D3C6" w:sz="4"/>
        </w:tblBorders>
      </w:tblPr>
      <w:tblGrid>
        <w:gridCol w:w="3200"/>
        <w:gridCol w:w="3000"/>
        <w:gridCol w:w="3438"/>
      </w:tblGrid>
      <w:tr>
        <w:trPr>
          <w:tblHeader/>
        </w:trPr>
        <w:tc>
          <w:tcPr>
            <w:tcW w:type="dxa" w:w="3200"/>
            <w:shd w:fill="0D1F3C" w:color="auto" w:val="clear"/>
            <w:tcMar>
              <w:top w:type="dxa" w:w="90"/>
              <w:left w:type="dxa" w:w="140"/>
              <w:bottom w:type="dxa" w:w="90"/>
              <w:right w:type="dxa" w:w="140"/>
            </w:tcMar>
            <w:vAlign w:val="center"/>
          </w:tcPr>
          <w:p>
            <w:r>
              <w:rPr>
                <w:rFonts w:ascii="Calibri" w:cs="Calibri" w:eastAsia="Calibri" w:hAnsi="Calibri"/>
                <w:b/>
                <w:bCs/>
                <w:color w:val="FFFFFF"/>
                <w:sz w:val="20"/>
                <w:szCs w:val="20"/>
              </w:rPr>
              <w:t xml:space="preserve">Lender</w:t>
            </w:r>
          </w:p>
        </w:tc>
        <w:tc>
          <w:tcPr>
            <w:tcW w:type="dxa" w:w="3000"/>
            <w:shd w:fill="0D1F3C" w:color="auto" w:val="clear"/>
            <w:tcMar>
              <w:top w:type="dxa" w:w="90"/>
              <w:left w:type="dxa" w:w="140"/>
              <w:bottom w:type="dxa" w:w="90"/>
              <w:right w:type="dxa" w:w="140"/>
            </w:tcMar>
            <w:vAlign w:val="center"/>
          </w:tcPr>
          <w:p>
            <w:r>
              <w:rPr>
                <w:rFonts w:ascii="Calibri" w:cs="Calibri" w:eastAsia="Calibri" w:hAnsi="Calibri"/>
                <w:b/>
                <w:bCs/>
                <w:color w:val="FFFFFF"/>
                <w:sz w:val="20"/>
                <w:szCs w:val="20"/>
              </w:rPr>
              <w:t xml:space="preserve">Maximum capacity</w:t>
            </w:r>
          </w:p>
        </w:tc>
        <w:tc>
          <w:tcPr>
            <w:tcW w:type="dxa" w:w="3438"/>
            <w:shd w:fill="0D1F3C" w:color="auto" w:val="clear"/>
            <w:tcMar>
              <w:top w:type="dxa" w:w="90"/>
              <w:left w:type="dxa" w:w="140"/>
              <w:bottom w:type="dxa" w:w="90"/>
              <w:right w:type="dxa" w:w="140"/>
            </w:tcMar>
            <w:vAlign w:val="center"/>
          </w:tcPr>
          <w:p>
            <w:r>
              <w:rPr>
                <w:rFonts w:ascii="Calibri" w:cs="Calibri" w:eastAsia="Calibri" w:hAnsi="Calibri"/>
                <w:b/>
                <w:bCs/>
                <w:color w:val="FFFFFF"/>
                <w:sz w:val="20"/>
                <w:szCs w:val="20"/>
              </w:rPr>
              <w:t xml:space="preserve">Status / notes</w:t>
            </w:r>
          </w:p>
        </w:tc>
      </w:tr>
      <w:tr>
        <w:tc>
          <w:tcPr>
            <w:tcW w:type="dxa" w:w="3200"/>
            <w:shd w:fill="FCFBF8"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Lender A</w:t>
            </w:r>
          </w:p>
        </w:tc>
        <w:tc>
          <w:tcPr>
            <w:tcW w:type="dxa" w:w="3000"/>
            <w:shd w:fill="FCFBF8"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£759,000</w:t>
            </w:r>
          </w:p>
        </w:tc>
        <w:tc>
          <w:tcPr>
            <w:tcW w:type="dxa" w:w="3438"/>
            <w:shd w:fill="FCFBF8"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Auto-calculated — confirm</w:t>
            </w:r>
          </w:p>
        </w:tc>
      </w:tr>
      <w:tr>
        <w:tc>
          <w:tcPr>
            <w:tcW w:type="dxa" w:w="3200"/>
            <w:shd w:fill="FFFFFF"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Lender B</w:t>
            </w:r>
          </w:p>
        </w:tc>
        <w:tc>
          <w:tcPr>
            <w:tcW w:type="dxa" w:w="3000"/>
            <w:shd w:fill="FFFFFF"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£624,000</w:t>
            </w:r>
          </w:p>
        </w:tc>
        <w:tc>
          <w:tcPr>
            <w:tcW w:type="dxa" w:w="3438"/>
            <w:shd w:fill="FFFFFF"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Auto-calculated — confirm</w:t>
            </w:r>
          </w:p>
        </w:tc>
      </w:tr>
      <w:tr>
        <w:tc>
          <w:tcPr>
            <w:tcW w:type="dxa" w:w="3200"/>
            <w:shd w:fill="FCFBF8"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Lender C</w:t>
            </w:r>
          </w:p>
        </w:tc>
        <w:tc>
          <w:tcPr>
            <w:tcW w:type="dxa" w:w="3000"/>
            <w:shd w:fill="FCFBF8"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£540,000</w:t>
            </w:r>
          </w:p>
        </w:tc>
        <w:tc>
          <w:tcPr>
            <w:tcW w:type="dxa" w:w="3438"/>
            <w:shd w:fill="FCFBF8"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Auto-calculated — confirm</w:t>
            </w:r>
          </w:p>
        </w:tc>
      </w:tr>
      <w:tr>
        <w:tc>
          <w:tcPr>
            <w:tcW w:type="dxa" w:w="3200"/>
            <w:shd w:fill="FFFFFF"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Panel average</w:t>
            </w:r>
          </w:p>
        </w:tc>
        <w:tc>
          <w:tcPr>
            <w:tcW w:type="dxa" w:w="3000"/>
            <w:shd w:fill="FFFFFF"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£624,000</w:t>
            </w:r>
          </w:p>
        </w:tc>
        <w:tc>
          <w:tcPr>
            <w:tcW w:type="dxa" w:w="3438"/>
            <w:shd w:fill="FFFFFF"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~£3,558/mo</w:t>
            </w:r>
          </w:p>
        </w:tc>
      </w:tr>
    </w:tbl>
    <w:p>
      <w:pPr>
        <w:pBdr>
          <w:bottom w:val="single" w:color="A6894A" w:sz="8" w:space="6"/>
        </w:pBdr>
        <w:spacing w:after="140" w:before="360"/>
      </w:pPr>
      <w:r>
        <w:rPr>
          <w:rFonts w:ascii="Georgia" w:cs="Georgia" w:eastAsia="Georgia" w:hAnsi="Georgia"/>
          <w:b/>
          <w:bCs/>
          <w:color w:val="A6894A"/>
          <w:sz w:val="26"/>
          <w:szCs w:val="26"/>
        </w:rPr>
        <w:t xml:space="preserve">08  </w:t>
      </w:r>
      <w:r>
        <w:rPr>
          <w:rFonts w:ascii="Georgia" w:cs="Georgia" w:eastAsia="Georgia" w:hAnsi="Georgia"/>
          <w:b/>
          <w:bCs/>
          <w:color w:val="0D1F3C"/>
          <w:spacing w:val="20"/>
          <w:sz w:val="26"/>
          <w:szCs w:val="26"/>
        </w:rPr>
        <w:t xml:space="preserve">MORTGAGE CAPACITY — COMMENTARY</w:t>
      </w:r>
    </w:p>
    <w:p>
      <w:pPr>
        <w:pBdr>
          <w:bottom w:val="single" w:color="A6894A" w:sz="8" w:space="6"/>
        </w:pBdr>
        <w:spacing w:after="140" w:before="360"/>
      </w:pPr>
      <w:r>
        <w:rPr>
          <w:rFonts w:ascii="Georgia" w:cs="Georgia" w:eastAsia="Georgia" w:hAnsi="Georgia"/>
          <w:b/>
          <w:bCs/>
          <w:color w:val="A6894A"/>
          <w:sz w:val="26"/>
          <w:szCs w:val="26"/>
        </w:rPr>
        <w:t xml:space="preserve">09  </w:t>
      </w:r>
      <w:r>
        <w:rPr>
          <w:rFonts w:ascii="Georgia" w:cs="Georgia" w:eastAsia="Georgia" w:hAnsi="Georgia"/>
          <w:b/>
          <w:bCs/>
          <w:color w:val="0D1F3C"/>
          <w:spacing w:val="20"/>
          <w:sz w:val="26"/>
          <w:szCs w:val="26"/>
        </w:rPr>
        <w:t xml:space="preserve">SCENARIO ANALYSIS</w:t>
      </w:r>
    </w:p>
    <w:tbl>
      <w:tblPr>
        <w:tblW w:type="dxa" w:w="9638"/>
        <w:tblBorders>
          <w:top w:val="single" w:color="D8D3C6" w:sz="4"/>
          <w:left w:val="single" w:color="D8D3C6" w:sz="4"/>
          <w:bottom w:val="single" w:color="D8D3C6" w:sz="4"/>
          <w:right w:val="single" w:color="D8D3C6" w:sz="4"/>
          <w:insideH w:val="single" w:color="D8D3C6" w:sz="4"/>
          <w:insideV w:val="single" w:color="D8D3C6" w:sz="4"/>
        </w:tblBorders>
      </w:tblPr>
      <w:tblGrid>
        <w:gridCol w:w="3800"/>
        <w:gridCol w:w="2400"/>
        <w:gridCol w:w="3438"/>
      </w:tblGrid>
      <w:tr>
        <w:trPr>
          <w:tblHeader/>
        </w:trPr>
        <w:tc>
          <w:tcPr>
            <w:tcW w:type="dxa" w:w="3800"/>
            <w:shd w:fill="0D1F3C" w:color="auto" w:val="clear"/>
            <w:tcMar>
              <w:top w:type="dxa" w:w="90"/>
              <w:left w:type="dxa" w:w="140"/>
              <w:bottom w:type="dxa" w:w="90"/>
              <w:right w:type="dxa" w:w="140"/>
            </w:tcMar>
            <w:vAlign w:val="center"/>
          </w:tcPr>
          <w:p>
            <w:r>
              <w:rPr>
                <w:rFonts w:ascii="Calibri" w:cs="Calibri" w:eastAsia="Calibri" w:hAnsi="Calibri"/>
                <w:b/>
                <w:bCs/>
                <w:color w:val="FFFFFF"/>
                <w:sz w:val="20"/>
                <w:szCs w:val="20"/>
              </w:rPr>
              <w:t xml:space="preserve">Scenario</w:t>
            </w:r>
          </w:p>
        </w:tc>
        <w:tc>
          <w:tcPr>
            <w:tcW w:type="dxa" w:w="2400"/>
            <w:shd w:fill="0D1F3C" w:color="auto" w:val="clear"/>
            <w:tcMar>
              <w:top w:type="dxa" w:w="90"/>
              <w:left w:type="dxa" w:w="140"/>
              <w:bottom w:type="dxa" w:w="90"/>
              <w:right w:type="dxa" w:w="140"/>
            </w:tcMar>
            <w:vAlign w:val="center"/>
          </w:tcPr>
          <w:p>
            <w:r>
              <w:rPr>
                <w:rFonts w:ascii="Calibri" w:cs="Calibri" w:eastAsia="Calibri" w:hAnsi="Calibri"/>
                <w:b/>
                <w:bCs/>
                <w:color w:val="FFFFFF"/>
                <w:sz w:val="20"/>
                <w:szCs w:val="20"/>
              </w:rPr>
              <w:t xml:space="preserve">Indicative capacity</w:t>
            </w:r>
          </w:p>
        </w:tc>
        <w:tc>
          <w:tcPr>
            <w:tcW w:type="dxa" w:w="3438"/>
            <w:shd w:fill="0D1F3C" w:color="auto" w:val="clear"/>
            <w:tcMar>
              <w:top w:type="dxa" w:w="90"/>
              <w:left w:type="dxa" w:w="140"/>
              <w:bottom w:type="dxa" w:w="90"/>
              <w:right w:type="dxa" w:w="140"/>
            </w:tcMar>
            <w:vAlign w:val="center"/>
          </w:tcPr>
          <w:p>
            <w:r>
              <w:rPr>
                <w:rFonts w:ascii="Calibri" w:cs="Calibri" w:eastAsia="Calibri" w:hAnsi="Calibri"/>
                <w:b/>
                <w:bCs/>
                <w:color w:val="FFFFFF"/>
                <w:sz w:val="20"/>
                <w:szCs w:val="20"/>
              </w:rPr>
              <w:t xml:space="preserve">Basis</w:t>
            </w:r>
          </w:p>
        </w:tc>
      </w:tr>
      <w:tr>
        <w:tc>
          <w:tcPr>
            <w:tcW w:type="dxa" w:w="3800"/>
            <w:shd w:fill="FCFBF8"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AUTO-SCENARIO 1 — current position</w:t>
            </w:r>
          </w:p>
        </w:tc>
        <w:tc>
          <w:tcPr>
            <w:tcW w:type="dxa" w:w="2400"/>
            <w:shd w:fill="FCFBF8"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£624,000</w:t>
            </w:r>
          </w:p>
        </w:tc>
        <w:tc>
          <w:tcPr>
            <w:tcW w:type="dxa" w:w="3438"/>
            <w:shd w:fill="FCFBF8"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Baseline panel average on disclosed figures</w:t>
            </w:r>
          </w:p>
        </w:tc>
      </w:tr>
      <w:tr>
        <w:tc>
          <w:tcPr>
            <w:tcW w:type="dxa" w:w="3800"/>
            <w:shd w:fill="FFFFFF"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AUTO-SCENARIO 2 — disclosed debts cleared</w:t>
            </w:r>
          </w:p>
        </w:tc>
        <w:tc>
          <w:tcPr>
            <w:tcW w:type="dxa" w:w="2400"/>
            <w:shd w:fill="FFFFFF"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£687,000</w:t>
            </w:r>
          </w:p>
        </w:tc>
        <w:tc>
          <w:tcPr>
            <w:tcW w:type="dxa" w:w="3438"/>
            <w:shd w:fill="FFFFFF"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Assumes credit cards, loans and HP settled</w:t>
            </w:r>
          </w:p>
        </w:tc>
      </w:tr>
      <w:tr>
        <w:tc>
          <w:tcPr>
            <w:tcW w:type="dxa" w:w="3800"/>
            <w:shd w:fill="FCFBF8" w:color="auto" w:val="clear"/>
            <w:tcMar>
              <w:top w:type="dxa" w:w="90"/>
              <w:left w:type="dxa" w:w="140"/>
              <w:bottom w:type="dxa" w:w="90"/>
              <w:right w:type="dxa" w:w="140"/>
            </w:tcMar>
            <w:vAlign w:val="center"/>
          </w:tcPr>
          <w:p>
            <w:r>
              <w:rPr>
                <w:rFonts w:ascii="Calibri" w:cs="Calibri" w:eastAsia="Calibri" w:hAnsi="Calibri"/>
                <w:b/>
                <w:bCs/>
                <w:color w:val="2B3648"/>
                <w:sz w:val="20"/>
                <w:szCs w:val="20"/>
              </w:rPr>
              <w:t xml:space="preserve">AUTO-SCENARIO 3 — without maintenance income</w:t>
            </w:r>
          </w:p>
        </w:tc>
        <w:tc>
          <w:tcPr>
            <w:tcW w:type="dxa" w:w="2400"/>
            <w:shd w:fill="FCFBF8"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£555,000</w:t>
            </w:r>
          </w:p>
        </w:tc>
        <w:tc>
          <w:tcPr>
            <w:tcW w:type="dxa" w:w="3438"/>
            <w:shd w:fill="FCFBF8" w:color="auto" w:val="clear"/>
            <w:tcMar>
              <w:top w:type="dxa" w:w="90"/>
              <w:left w:type="dxa" w:w="140"/>
              <w:bottom w:type="dxa" w:w="90"/>
              <w:right w:type="dxa" w:w="140"/>
            </w:tcMar>
            <w:vAlign w:val="center"/>
          </w:tcPr>
          <w:p>
            <w:pPr>
              <w:jc w:val="right"/>
            </w:pPr>
            <w:r>
              <w:rPr>
                <w:rFonts w:ascii="Calibri" w:cs="Calibri" w:eastAsia="Calibri" w:hAnsi="Calibri"/>
                <w:b w:val="false"/>
                <w:bCs w:val="false"/>
                <w:color w:val="2B3648"/>
                <w:sz w:val="20"/>
                <w:szCs w:val="20"/>
              </w:rPr>
              <w:t xml:space="preserve">Maintenance received excluded from assessable income</w:t>
            </w:r>
          </w:p>
        </w:tc>
      </w:tr>
    </w:tbl>
    <w:p>
      <w:pPr>
        <w:pBdr>
          <w:bottom w:val="single" w:color="A6894A" w:sz="8" w:space="6"/>
        </w:pBdr>
        <w:spacing w:after="140" w:before="360"/>
      </w:pPr>
      <w:r>
        <w:rPr>
          <w:rFonts w:ascii="Georgia" w:cs="Georgia" w:eastAsia="Georgia" w:hAnsi="Georgia"/>
          <w:b/>
          <w:bCs/>
          <w:color w:val="A6894A"/>
          <w:sz w:val="26"/>
          <w:szCs w:val="26"/>
        </w:rPr>
        <w:t xml:space="preserve">10  </w:t>
      </w:r>
      <w:r>
        <w:rPr>
          <w:rFonts w:ascii="Georgia" w:cs="Georgia" w:eastAsia="Georgia" w:hAnsi="Georgia"/>
          <w:b/>
          <w:bCs/>
          <w:color w:val="0D1F3C"/>
          <w:spacing w:val="20"/>
          <w:sz w:val="26"/>
          <w:szCs w:val="26"/>
        </w:rPr>
        <w:t xml:space="preserve">METHODOLOGY NOTES</w:t>
      </w:r>
    </w:p>
    <w:p>
      <w:pPr>
        <w:spacing w:after="120" w:line="276"/>
      </w:pPr>
      <w:r>
        <w:rPr>
          <w:rFonts w:ascii="Calibri" w:cs="Calibri" w:eastAsia="Calibri" w:hAnsi="Calibri"/>
          <w:color w:val="2B3648"/>
          <w:sz w:val="21"/>
          <w:szCs w:val="21"/>
        </w:rPr>
        <w:t xml:space="preserve">Capacity figures are produced by running the applicant's income and commitments through Affordability Brain, which returns live sourcing across 50+ UK residential lenders based on each lender's published criteria, stress rates and income multiples. Panel-average figures cited elsewhere in this report are calibrated against the top mainstream residential lenders and are indicative only.</w:t>
      </w:r>
    </w:p>
    <w:p>
      <w:pPr>
        <w:pBdr>
          <w:bottom w:val="single" w:color="A6894A" w:sz="8" w:space="6"/>
        </w:pBdr>
        <w:spacing w:after="140" w:before="360"/>
      </w:pPr>
      <w:r>
        <w:rPr>
          <w:rFonts w:ascii="Georgia" w:cs="Georgia" w:eastAsia="Georgia" w:hAnsi="Georgia"/>
          <w:b/>
          <w:bCs/>
          <w:color w:val="A6894A"/>
          <w:sz w:val="26"/>
          <w:szCs w:val="26"/>
        </w:rPr>
        <w:t xml:space="preserve">11  </w:t>
      </w:r>
      <w:r>
        <w:rPr>
          <w:rFonts w:ascii="Georgia" w:cs="Georgia" w:eastAsia="Georgia" w:hAnsi="Georgia"/>
          <w:b/>
          <w:bCs/>
          <w:color w:val="0D1F3C"/>
          <w:spacing w:val="20"/>
          <w:sz w:val="26"/>
          <w:szCs w:val="26"/>
        </w:rPr>
        <w:t xml:space="preserve">IMPORTANT WARNINGS</w:t>
      </w:r>
    </w:p>
    <w:p>
      <w:pPr>
        <w:spacing w:after="120" w:line="276"/>
      </w:pPr>
      <w:r>
        <w:rPr>
          <w:rFonts w:ascii="Calibri" w:cs="Calibri" w:eastAsia="Calibri" w:hAnsi="Calibri"/>
          <w:color w:val="2B3648"/>
          <w:sz w:val="21"/>
          <w:szCs w:val="21"/>
        </w:rPr>
        <w:t xml:space="preserve">Actual lender decisions depend on full underwriting, credit checks and lender criteria at the point of application. Interest rates, product availability and lender criteria change frequently. This report should be treated as a snapshot valid for 90 days from the date of preparation.</w:t>
      </w:r>
    </w:p>
    <w:p>
      <w:pPr>
        <w:pBdr>
          <w:bottom w:val="single" w:color="A6894A" w:sz="8" w:space="6"/>
        </w:pBdr>
        <w:spacing w:after="140" w:before="360"/>
      </w:pPr>
      <w:r>
        <w:rPr>
          <w:rFonts w:ascii="Georgia" w:cs="Georgia" w:eastAsia="Georgia" w:hAnsi="Georgia"/>
          <w:b/>
          <w:bCs/>
          <w:color w:val="A6894A"/>
          <w:sz w:val="26"/>
          <w:szCs w:val="26"/>
        </w:rPr>
        <w:t xml:space="preserve">12  </w:t>
      </w:r>
      <w:r>
        <w:rPr>
          <w:rFonts w:ascii="Georgia" w:cs="Georgia" w:eastAsia="Georgia" w:hAnsi="Georgia"/>
          <w:b/>
          <w:bCs/>
          <w:color w:val="0D1F3C"/>
          <w:spacing w:val="20"/>
          <w:sz w:val="26"/>
          <w:szCs w:val="26"/>
        </w:rPr>
        <w:t xml:space="preserve">DISCLAIMER</w:t>
      </w:r>
    </w:p>
    <w:p>
      <w:pPr>
        <w:spacing w:after="120" w:line="276"/>
      </w:pPr>
      <w:r>
        <w:rPr>
          <w:rFonts w:ascii="Calibri" w:cs="Calibri" w:eastAsia="Calibri" w:hAnsi="Calibri"/>
          <w:color w:val="2B3648"/>
          <w:sz w:val="21"/>
          <w:szCs w:val="21"/>
        </w:rPr>
        <w:t xml:space="preserve">This report is provided in the capacity of an independent mortgage expert and does not constitute an offer of finance. It has been prepared solely for use in the Financial Remedy proceedings identified above.</w:t>
      </w:r>
    </w:p>
    <w:p>
      <w:pPr>
        <w:pBdr>
          <w:bottom w:val="single" w:color="A6894A" w:sz="8" w:space="6"/>
        </w:pBdr>
        <w:spacing w:after="140" w:before="360"/>
      </w:pPr>
      <w:r>
        <w:rPr>
          <w:rFonts w:ascii="Georgia" w:cs="Georgia" w:eastAsia="Georgia" w:hAnsi="Georgia"/>
          <w:b/>
          <w:bCs/>
          <w:color w:val="A6894A"/>
          <w:sz w:val="26"/>
          <w:szCs w:val="26"/>
        </w:rPr>
        <w:t xml:space="preserve">13  </w:t>
      </w:r>
      <w:r>
        <w:rPr>
          <w:rFonts w:ascii="Georgia" w:cs="Georgia" w:eastAsia="Georgia" w:hAnsi="Georgia"/>
          <w:b/>
          <w:bCs/>
          <w:color w:val="0D1F3C"/>
          <w:spacing w:val="20"/>
          <w:sz w:val="26"/>
          <w:szCs w:val="26"/>
        </w:rPr>
        <w:t xml:space="preserve">STATEMENT OF TRUTH</w:t>
      </w:r>
    </w:p>
    <w:p>
      <w:pPr>
        <w:spacing w:after="120" w:line="276"/>
      </w:pPr>
      <w:r>
        <w:rPr>
          <w:rFonts w:ascii="Calibri" w:cs="Calibri" w:eastAsia="Calibri" w:hAnsi="Calibri"/>
          <w:color w:val="2B3648"/>
          <w:sz w:val="21"/>
          <w:szCs w:val="21"/>
        </w:rPr>
        <w:t xml:space="preserve">I confirm that the contents of this report are a true and accurate reflection of my professional opinion, based on the information provided to me and the lender criteria known to me at the date of this report.</w:t>
      </w:r>
    </w:p>
    <w:p>
      <w:pPr>
        <w:spacing w:after="120" w:line="276"/>
      </w:pPr>
      <w:r>
        <w:rPr>
          <w:rFonts w:ascii="Calibri" w:cs="Calibri" w:eastAsia="Calibri" w:hAnsi="Calibri"/>
          <w:color w:val="2B3648"/>
          <w:sz w:val="21"/>
          <w:szCs w:val="21"/>
        </w:rPr>
        <w:t xml:space="preserve"> </w:t>
      </w:r>
    </w:p>
    <w:p>
      <w:pPr>
        <w:spacing w:after="120" w:line="276"/>
      </w:pPr>
      <w:r>
        <w:rPr>
          <w:rFonts w:ascii="Calibri" w:cs="Calibri" w:eastAsia="Calibri" w:hAnsi="Calibri"/>
          <w:color w:val="2B3648"/>
          <w:sz w:val="21"/>
          <w:szCs w:val="21"/>
        </w:rPr>
        <w:t xml:space="preserve">Signed: ________________________________</w:t>
      </w:r>
    </w:p>
    <w:p>
      <w:pPr>
        <w:spacing w:after="120" w:line="276"/>
      </w:pPr>
      <w:r>
        <w:rPr>
          <w:rFonts w:ascii="Calibri" w:cs="Calibri" w:eastAsia="Calibri" w:hAnsi="Calibri"/>
          <w:color w:val="2B3648"/>
          <w:sz w:val="21"/>
          <w:szCs w:val="21"/>
        </w:rPr>
        <w:t xml:space="preserve">Name: Darren Meehan CeMAP / Clementine Palmer CeMAP</w:t>
      </w:r>
    </w:p>
    <w:p>
      <w:pPr>
        <w:spacing w:after="120" w:line="276"/>
      </w:pPr>
      <w:r>
        <w:rPr>
          <w:rFonts w:ascii="Calibri" w:cs="Calibri" w:eastAsia="Calibri" w:hAnsi="Calibri"/>
          <w:color w:val="2B3648"/>
          <w:sz w:val="21"/>
          <w:szCs w:val="21"/>
        </w:rPr>
        <w:t xml:space="preserve">Date: ____________________</w:t>
      </w:r>
    </w:p>
    <w:p>
      <w:pPr>
        <w:pBdr>
          <w:bottom w:val="single" w:color="A6894A" w:sz="8" w:space="6"/>
        </w:pBdr>
        <w:spacing w:after="140" w:before="360"/>
      </w:pPr>
      <w:r>
        <w:rPr>
          <w:rFonts w:ascii="Georgia" w:cs="Georgia" w:eastAsia="Georgia" w:hAnsi="Georgia"/>
          <w:b/>
          <w:bCs/>
          <w:color w:val="A6894A"/>
          <w:sz w:val="26"/>
          <w:szCs w:val="26"/>
        </w:rPr>
        <w:t xml:space="preserve">14  </w:t>
      </w:r>
      <w:r>
        <w:rPr>
          <w:rFonts w:ascii="Georgia" w:cs="Georgia" w:eastAsia="Georgia" w:hAnsi="Georgia"/>
          <w:b/>
          <w:bCs/>
          <w:color w:val="0D1F3C"/>
          <w:spacing w:val="20"/>
          <w:sz w:val="26"/>
          <w:szCs w:val="26"/>
        </w:rPr>
        <w:t xml:space="preserve">OTHER SERVICES</w:t>
      </w:r>
    </w:p>
    <w:p>
      <w:pPr>
        <w:spacing w:after="120" w:line="276"/>
      </w:pPr>
      <w:r>
        <w:rPr>
          <w:rFonts w:ascii="Calibri" w:cs="Calibri" w:eastAsia="Calibri" w:hAnsi="Calibri"/>
          <w:color w:val="2B3648"/>
          <w:sz w:val="21"/>
          <w:szCs w:val="21"/>
        </w:rPr>
        <w:t xml:space="preserve">Bright Money Independent Ltd, trading as BrightMCR, provides mortgage advice, remortgage &amp; buyout advice, debt consolidation reviews and family protection (life, critical illness and income protection) advice through BrightCap Partners. Contact </w:t>
      </w:r>
      <w:hyperlink w:history="1" r:id="rIdf22hvczv7nu3b-rhwyiiw">
        <w:r>
          <w:rPr>
            <w:rFonts w:ascii="Calibri" w:cs="Calibri" w:eastAsia="Calibri" w:hAnsi="Calibri"/>
            <w:color w:val="007A72"/>
            <w:sz w:val="21"/>
            <w:szCs w:val="21"/>
            <w:u w:val="single"/>
          </w:rPr>
          <w:t xml:space="preserve">mcr@bmimoney.co.uk</w:t>
        </w:r>
      </w:hyperlink>
      <w:r>
        <w:rPr>
          <w:rFonts w:ascii="Calibri" w:cs="Calibri" w:eastAsia="Calibri" w:hAnsi="Calibri"/>
          <w:color w:val="2B3648"/>
          <w:sz w:val="21"/>
          <w:szCs w:val="21"/>
        </w:rPr>
        <w:t xml:space="preserve"> or 01235 754475.</w:t>
      </w:r>
    </w:p>
    <w:p>
      <w:pPr>
        <w:pBdr>
          <w:top w:val="single" w:color="A6894A" w:sz="8" w:space="8"/>
        </w:pBdr>
        <w:spacing w:before="240"/>
      </w:pPr>
      <w:r>
        <w:rPr>
          <w:rFonts w:ascii="Calibri" w:cs="Calibri" w:eastAsia="Calibri" w:hAnsi="Calibri"/>
          <w:i/>
          <w:iCs/>
          <w:color w:val="6B7280"/>
          <w:sz w:val="17"/>
          <w:szCs w:val="17"/>
        </w:rPr>
        <w:t xml:space="preserve">Powered by BrightMCR · Bright Money Independent Ltd · FCA No. 578068 · AR of Sesame Ltd · Suite 2a, Kille House, Chinnor Road, Thame OX9 3NU</w:t>
      </w:r>
    </w:p>
    <w:sectPr>
      <w:headerReference w:type="default" r:id="rId7"/>
      <w:headerReference w:type="first" r:id="rId8"/>
      <w:footerReference w:type="default" r:id="rId9"/>
      <w:footerReference w:type="first" r:id="rId10"/>
      <w:pgSz w:w="11906" w:h="16838" w:orient="portrait"/>
      <w:pgMar w:top="1134" w:right="1134" w:bottom="1134"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D3C6" w:sz="6" w:space="6"/>
      </w:pBdr>
      <w:tabs>
        <w:tab w:val="right" w:pos="9026"/>
      </w:tabs>
    </w:pPr>
    <w:r>
      <w:rPr>
        <w:rFonts w:ascii="Calibri" w:cs="Calibri" w:eastAsia="Calibri" w:hAnsi="Calibri"/>
        <w:color w:val="6B7280"/>
        <w:sz w:val="15"/>
        <w:szCs w:val="15"/>
      </w:rPr>
      <w:t xml:space="preserve">Bright Money Independent Ltd · FCA No. 578068 · Ref BMR-4821</w:t>
    </w:r>
    <w:r>
      <w:rPr>
        <w:rFonts w:ascii="Calibri" w:cs="Calibri" w:eastAsia="Calibri" w:hAnsi="Calibri"/>
        <w:b/>
        <w:bCs/>
        <w:color w:val="8A6D00"/>
        <w:sz w:val="15"/>
        <w:szCs w:val="15"/>
      </w:rPr>
      <w:t xml:space="preserve">   ·   SAMPLE — FOR ILLUSTRATION ONLY</w:t>
    </w:r>
    <w:r>
      <w:rPr>
        <w:rFonts w:ascii="Calibri" w:cs="Calibri" w:eastAsia="Calibri" w:hAnsi="Calibri"/>
        <w:color w:val="6B7280"/>
        <w:sz w:val="15"/>
        <w:szCs w:val="15"/>
      </w:rPr>
      <w:t xml:space="preserve">	Page </w:t>
    </w:r>
    <w:r>
      <w:rPr>
        <w:rFonts w:ascii="Calibri" w:cs="Calibri" w:eastAsia="Calibri" w:hAnsi="Calibri"/>
        <w:color w:val="6B7280"/>
        <w:sz w:val="15"/>
        <w:szCs w:val="15"/>
      </w:rPr>
      <w:fldChar w:fldCharType="begin"/>
      <w:instrText xml:space="preserve">PAGE</w:instrText>
      <w:fldChar w:fldCharType="separate"/>
      <w:fldChar w:fldCharType="end"/>
    </w:r>
    <w:r>
      <w:rPr>
        <w:rFonts w:ascii="Calibri" w:cs="Calibri" w:eastAsia="Calibri" w:hAnsi="Calibri"/>
        <w:color w:val="6B7280"/>
        <w:sz w:val="15"/>
        <w:szCs w:val="15"/>
      </w:rPr>
      <w:t xml:space="preserve"> of </w:t>
    </w:r>
    <w:r>
      <w:rPr>
        <w:rFonts w:ascii="Calibri" w:cs="Calibri" w:eastAsia="Calibri" w:hAnsi="Calibri"/>
        <w:color w:val="6B7280"/>
        <w:sz w:val="15"/>
        <w:szCs w:val="15"/>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D3C6" w:sz="6" w:space="6"/>
      </w:pBdr>
      <w:tabs>
        <w:tab w:val="right" w:pos="9026"/>
      </w:tabs>
    </w:pPr>
    <w:r>
      <w:rPr>
        <w:rFonts w:ascii="Calibri" w:cs="Calibri" w:eastAsia="Calibri" w:hAnsi="Calibri"/>
        <w:color w:val="6B7280"/>
        <w:sz w:val="15"/>
        <w:szCs w:val="15"/>
      </w:rPr>
      <w:t xml:space="preserve">Bright Money Independent Ltd · FCA No. 578068 · Ref BMR-4821</w:t>
    </w:r>
    <w:r>
      <w:rPr>
        <w:rFonts w:ascii="Calibri" w:cs="Calibri" w:eastAsia="Calibri" w:hAnsi="Calibri"/>
        <w:b/>
        <w:bCs/>
        <w:color w:val="8A6D00"/>
        <w:sz w:val="15"/>
        <w:szCs w:val="15"/>
      </w:rPr>
      <w:t xml:space="preserve">   ·   SAMPLE — FOR ILLUSTRATION ONLY</w:t>
    </w:r>
    <w:r>
      <w:rPr>
        <w:rFonts w:ascii="Calibri" w:cs="Calibri" w:eastAsia="Calibri" w:hAnsi="Calibri"/>
        <w:color w:val="6B7280"/>
        <w:sz w:val="15"/>
        <w:szCs w:val="15"/>
      </w:rPr>
      <w:t xml:space="preserve">	Page </w:t>
    </w:r>
    <w:r>
      <w:rPr>
        <w:rFonts w:ascii="Calibri" w:cs="Calibri" w:eastAsia="Calibri" w:hAnsi="Calibri"/>
        <w:color w:val="6B7280"/>
        <w:sz w:val="15"/>
        <w:szCs w:val="15"/>
      </w:rPr>
      <w:fldChar w:fldCharType="begin"/>
      <w:instrText xml:space="preserve">PAGE</w:instrText>
      <w:fldChar w:fldCharType="separate"/>
      <w:fldChar w:fldCharType="end"/>
    </w:r>
    <w:r>
      <w:rPr>
        <w:rFonts w:ascii="Calibri" w:cs="Calibri" w:eastAsia="Calibri" w:hAnsi="Calibri"/>
        <w:color w:val="6B7280"/>
        <w:sz w:val="15"/>
        <w:szCs w:val="15"/>
      </w:rPr>
      <w:t xml:space="preserve"> of </w:t>
    </w:r>
    <w:r>
      <w:rPr>
        <w:rFonts w:ascii="Calibri" w:cs="Calibri" w:eastAsia="Calibri" w:hAnsi="Calibri"/>
        <w:color w:val="6B7280"/>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8D3C6" w:sz="6" w:space="6"/>
      </w:pBdr>
      <w:tabs>
        <w:tab w:val="right" w:pos="9026"/>
      </w:tabs>
    </w:pPr>
    <w:r>
      <w:rPr>
        <w:rFonts w:ascii="Georgia" w:cs="Georgia" w:eastAsia="Georgia" w:hAnsi="Georgia"/>
        <w:b/>
        <w:bCs/>
        <w:color w:val="0D1F3C"/>
        <w:spacing w:val="30"/>
        <w:sz w:val="15"/>
        <w:szCs w:val="15"/>
      </w:rPr>
      <w:t xml:space="preserve">BRIGHT MONEY INDEPENDENT</w:t>
    </w:r>
    <w:r>
      <w:rPr>
        <w:rFonts w:ascii="Calibri" w:cs="Calibri" w:eastAsia="Calibri" w:hAnsi="Calibri"/>
        <w:b/>
        <w:bCs/>
        <w:color w:val="8A6D00"/>
        <w:sz w:val="15"/>
        <w:szCs w:val="15"/>
      </w:rPr>
      <w:t xml:space="preserve">	SAMPLE — FOR ILLUSTRATION ONLY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B364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f22hvczv7nu3b-rhwyiiw" Type="http://schemas.openxmlformats.org/officeDocument/2006/relationships/hyperlink" Target="mailto:mcr@bmimoney.co.uk"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Mortgage Capacity Report — BMR-4821</dc:title>
  <dc:creator>BrightMCR</dc:creator>
  <cp:lastModifiedBy>Un-named</cp:lastModifiedBy>
  <cp:revision>1</cp:revision>
  <dcterms:created xsi:type="dcterms:W3CDTF">2026-08-13T10:51:53.633Z</dcterms:created>
  <dcterms:modified xsi:type="dcterms:W3CDTF">2026-08-13T10:51:53.633Z</dcterms:modified>
</cp:coreProperties>
</file>

<file path=docProps/custom.xml><?xml version="1.0" encoding="utf-8"?>
<Properties xmlns="http://schemas.openxmlformats.org/officeDocument/2006/custom-properties" xmlns:vt="http://schemas.openxmlformats.org/officeDocument/2006/docPropsVTypes"/>
</file>